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A67BD8" w:rsidP="00932CCA">
      <w:pPr>
        <w:pStyle w:val="system-pagebreak"/>
        <w:jc w:val="center"/>
      </w:pPr>
      <w:r>
        <w:rPr>
          <w:rStyle w:val="a3"/>
        </w:rPr>
        <w:t>7</w:t>
      </w:r>
      <w:r w:rsidR="00F70FA8" w:rsidRPr="00B2270E">
        <w:rPr>
          <w:rStyle w:val="a3"/>
        </w:rPr>
        <w:t xml:space="preserve"> </w:t>
      </w:r>
      <w:r w:rsidR="006C41F8">
        <w:rPr>
          <w:rStyle w:val="a3"/>
        </w:rPr>
        <w:t>июл</w:t>
      </w:r>
      <w:r w:rsidR="0029361D">
        <w:rPr>
          <w:rStyle w:val="a3"/>
        </w:rPr>
        <w:t>я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 w:rsidR="0029361D">
        <w:t xml:space="preserve">младшего научного сотрудника </w:t>
      </w:r>
      <w:r w:rsidR="0029361D" w:rsidRPr="00F9602E">
        <w:t xml:space="preserve">лаборатории </w:t>
      </w:r>
      <w:r w:rsidR="0029361D">
        <w:t>био</w:t>
      </w:r>
      <w:r w:rsidR="006C41F8">
        <w:t>химии</w:t>
      </w:r>
      <w:r w:rsidR="0029361D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24748C" w:rsidRPr="0024748C">
        <w:t>141273</w:t>
      </w:r>
      <w:bookmarkStart w:id="0" w:name="_GoBack"/>
      <w:bookmarkEnd w:id="0"/>
      <w:r w:rsidR="00932CCA" w:rsidRPr="00B638C8">
        <w:t>)</w:t>
      </w:r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 xml:space="preserve">Должностной оклад </w:t>
      </w:r>
      <w:r w:rsidR="003D2121">
        <w:t xml:space="preserve">младшего </w:t>
      </w:r>
      <w:r w:rsidRPr="00FF53BE">
        <w:t>научного сотрудника составляет</w:t>
      </w:r>
      <w:r>
        <w:t xml:space="preserve"> </w:t>
      </w:r>
      <w:r w:rsidR="003D2121">
        <w:t xml:space="preserve">32001,00 </w:t>
      </w:r>
      <w:r w:rsidRPr="00FF53BE">
        <w:t xml:space="preserve">рублей. Ежемесячное </w:t>
      </w:r>
      <w:r w:rsidRPr="00E43AF6">
        <w:t xml:space="preserve">премирование </w:t>
      </w:r>
      <w:r w:rsidR="003D2121">
        <w:t>6400,00</w:t>
      </w:r>
      <w:r w:rsidRPr="00FF53BE">
        <w:t xml:space="preserve"> рублей. Стимулирующие выплаты </w:t>
      </w:r>
      <w:r w:rsidR="003D2121">
        <w:t>9600,00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BB5919" w:rsidRPr="00E5383C" w:rsidRDefault="00BB5919" w:rsidP="00BB5919">
      <w:pPr>
        <w:pStyle w:val="a7"/>
        <w:ind w:left="0"/>
        <w:jc w:val="both"/>
      </w:pPr>
      <w:r w:rsidRPr="00E5383C">
        <w:t>- опыт вирусологической работы в условиях биологической безопаснос</w:t>
      </w:r>
      <w:r w:rsidR="00E5383C" w:rsidRPr="00E5383C">
        <w:t xml:space="preserve">ти с ПБА </w:t>
      </w:r>
      <w:r w:rsidR="006C41F8" w:rsidRPr="006C41F8">
        <w:t>II-IV</w:t>
      </w:r>
      <w:r w:rsidR="00E5383C" w:rsidRPr="00E5383C">
        <w:t xml:space="preserve"> группы патогенности</w:t>
      </w:r>
      <w:r w:rsidRPr="00E5383C">
        <w:t>;</w:t>
      </w:r>
    </w:p>
    <w:p w:rsidR="00BB5919" w:rsidRPr="00EA5036" w:rsidRDefault="00BB5919" w:rsidP="00BB5919">
      <w:pPr>
        <w:pStyle w:val="a7"/>
        <w:ind w:left="0"/>
        <w:jc w:val="both"/>
        <w:rPr>
          <w:highlight w:val="yellow"/>
        </w:rPr>
      </w:pPr>
      <w:r w:rsidRPr="00EA5036">
        <w:t>- опыт работы</w:t>
      </w:r>
      <w:r w:rsidR="006C41F8" w:rsidRPr="00EA5036">
        <w:t xml:space="preserve"> в получении </w:t>
      </w:r>
      <w:r w:rsidR="00EA5036" w:rsidRPr="00EA5036">
        <w:t xml:space="preserve">генно-инженерных конструкций: рестрикция; </w:t>
      </w:r>
      <w:proofErr w:type="spellStart"/>
      <w:r w:rsidR="00EA5036" w:rsidRPr="00EA5036">
        <w:t>лигирование</w:t>
      </w:r>
      <w:proofErr w:type="spellEnd"/>
      <w:r w:rsidR="00EA5036" w:rsidRPr="00EA5036">
        <w:t xml:space="preserve">; </w:t>
      </w:r>
      <w:proofErr w:type="spellStart"/>
      <w:r w:rsidR="00EA5036" w:rsidRPr="00EA5036">
        <w:t>фосфорилирование</w:t>
      </w:r>
      <w:proofErr w:type="spellEnd"/>
      <w:r w:rsidR="00EA5036" w:rsidRPr="00EA5036">
        <w:t xml:space="preserve">; </w:t>
      </w:r>
      <w:proofErr w:type="spellStart"/>
      <w:r w:rsidR="00EA5036" w:rsidRPr="00EA5036">
        <w:t>дефосфорилирование</w:t>
      </w:r>
      <w:proofErr w:type="spellEnd"/>
      <w:r w:rsidR="00EA5036" w:rsidRPr="00EA5036">
        <w:t xml:space="preserve">; диагностическая ПЦР; электрофорез в </w:t>
      </w:r>
      <w:proofErr w:type="spellStart"/>
      <w:r w:rsidR="00EA5036" w:rsidRPr="00EA5036">
        <w:t>агарозном</w:t>
      </w:r>
      <w:proofErr w:type="spellEnd"/>
      <w:r w:rsidR="00EA5036" w:rsidRPr="00EA5036">
        <w:t xml:space="preserve"> геле; выделение и очистка ДНК, </w:t>
      </w:r>
      <w:proofErr w:type="spellStart"/>
      <w:r w:rsidR="00EA5036" w:rsidRPr="00EA5036">
        <w:t>рестрикционный</w:t>
      </w:r>
      <w:proofErr w:type="spellEnd"/>
      <w:r w:rsidR="00EA5036" w:rsidRPr="00EA5036">
        <w:t xml:space="preserve"> анализ; дизайн </w:t>
      </w:r>
      <w:proofErr w:type="spellStart"/>
      <w:r w:rsidR="00EA5036" w:rsidRPr="00EA5036">
        <w:t>олигонуклеотидов</w:t>
      </w:r>
      <w:proofErr w:type="spellEnd"/>
      <w:r w:rsidR="00EA5036" w:rsidRPr="00EA5036">
        <w:t xml:space="preserve">; конструирование </w:t>
      </w:r>
      <w:proofErr w:type="spellStart"/>
      <w:r w:rsidR="00EA5036" w:rsidRPr="00EA5036">
        <w:t>плазмидных</w:t>
      </w:r>
      <w:proofErr w:type="spellEnd"/>
      <w:r w:rsidR="00EA5036" w:rsidRPr="00EA5036">
        <w:t xml:space="preserve"> ДНК с использованием компьютерных технологий (</w:t>
      </w:r>
      <w:proofErr w:type="spellStart"/>
      <w:r w:rsidR="00EA5036" w:rsidRPr="00EA5036">
        <w:t>SnapGene</w:t>
      </w:r>
      <w:proofErr w:type="spellEnd"/>
      <w:r w:rsidR="00EA5036" w:rsidRPr="00EA5036">
        <w:t xml:space="preserve">), подготовка образцов для </w:t>
      </w:r>
      <w:proofErr w:type="spellStart"/>
      <w:r w:rsidR="00EA5036" w:rsidRPr="00EA5036">
        <w:t>секвенирования</w:t>
      </w:r>
      <w:proofErr w:type="spellEnd"/>
      <w:r w:rsidR="00EA5036" w:rsidRPr="00EA5036">
        <w:t xml:space="preserve">; расшифровка </w:t>
      </w:r>
      <w:proofErr w:type="spellStart"/>
      <w:r w:rsidR="00EA5036" w:rsidRPr="00EA5036">
        <w:t>секвенирования</w:t>
      </w:r>
      <w:proofErr w:type="spellEnd"/>
      <w:r w:rsidR="00EA5036" w:rsidRPr="00EA5036">
        <w:t xml:space="preserve"> с использованием компьютерных технологий (</w:t>
      </w:r>
      <w:proofErr w:type="spellStart"/>
      <w:r w:rsidR="00EA5036" w:rsidRPr="00EA5036">
        <w:t>SnapGene</w:t>
      </w:r>
      <w:proofErr w:type="spellEnd"/>
      <w:r w:rsidR="00EA5036" w:rsidRPr="00EA5036">
        <w:t xml:space="preserve">, </w:t>
      </w:r>
      <w:proofErr w:type="spellStart"/>
      <w:r w:rsidR="00EA5036" w:rsidRPr="00EA5036">
        <w:t>Benchlinc</w:t>
      </w:r>
      <w:proofErr w:type="spellEnd"/>
      <w:r w:rsidR="00EA5036" w:rsidRPr="00EA5036">
        <w:t xml:space="preserve">, </w:t>
      </w:r>
      <w:proofErr w:type="spellStart"/>
      <w:r w:rsidR="00EA5036" w:rsidRPr="00EA5036">
        <w:t>Clone</w:t>
      </w:r>
      <w:proofErr w:type="spellEnd"/>
      <w:r w:rsidR="00EA5036" w:rsidRPr="00EA5036">
        <w:t xml:space="preserve"> </w:t>
      </w:r>
      <w:proofErr w:type="spellStart"/>
      <w:r w:rsidR="00EA5036" w:rsidRPr="00EA5036">
        <w:t>Mgr</w:t>
      </w:r>
      <w:proofErr w:type="spellEnd"/>
      <w:r w:rsidR="00EA5036" w:rsidRPr="00EA5036">
        <w:t>); приготовление компетентных клеток с контролем эффективности (TG1, TOP-10, XL1-Blue, XL-</w:t>
      </w:r>
      <w:proofErr w:type="spellStart"/>
      <w:r w:rsidR="00EA5036" w:rsidRPr="00EA5036">
        <w:t>Gold</w:t>
      </w:r>
      <w:proofErr w:type="spellEnd"/>
      <w:r w:rsidR="00EA5036" w:rsidRPr="00EA5036">
        <w:t xml:space="preserve">, , BL21, HB2151); трансформация </w:t>
      </w:r>
      <w:proofErr w:type="spellStart"/>
      <w:r w:rsidR="00EA5036" w:rsidRPr="00EA5036">
        <w:t>плазмидами</w:t>
      </w:r>
      <w:proofErr w:type="spellEnd"/>
      <w:r w:rsidR="00EA5036" w:rsidRPr="00EA5036">
        <w:t xml:space="preserve">, </w:t>
      </w:r>
      <w:proofErr w:type="spellStart"/>
      <w:r w:rsidR="00EA5036" w:rsidRPr="00EA5036">
        <w:t>фагмидами</w:t>
      </w:r>
      <w:proofErr w:type="spellEnd"/>
      <w:r w:rsidR="00EA5036" w:rsidRPr="00EA5036">
        <w:t xml:space="preserve">, </w:t>
      </w:r>
      <w:proofErr w:type="spellStart"/>
      <w:r w:rsidR="00EA5036" w:rsidRPr="00EA5036">
        <w:t>лигазными</w:t>
      </w:r>
      <w:proofErr w:type="spellEnd"/>
      <w:r w:rsidR="00EA5036" w:rsidRPr="00EA5036">
        <w:t xml:space="preserve"> смесями; </w:t>
      </w:r>
      <w:proofErr w:type="spellStart"/>
      <w:r w:rsidR="00EA5036" w:rsidRPr="00EA5036">
        <w:t>электропорация</w:t>
      </w:r>
      <w:proofErr w:type="spellEnd"/>
      <w:r w:rsidR="00EA5036" w:rsidRPr="00EA5036">
        <w:t xml:space="preserve"> бактериальных клеток, включая оптимизацию параметров </w:t>
      </w:r>
      <w:proofErr w:type="spellStart"/>
      <w:r w:rsidR="00EA5036" w:rsidRPr="00EA5036">
        <w:t>электропорации</w:t>
      </w:r>
      <w:proofErr w:type="spellEnd"/>
      <w:r w:rsidR="00EA5036" w:rsidRPr="00EA5036">
        <w:t xml:space="preserve"> и восстановление клеток после электрошока; культивирование бактерий на различных </w:t>
      </w:r>
      <w:proofErr w:type="spellStart"/>
      <w:r w:rsidR="00EA5036" w:rsidRPr="00EA5036">
        <w:t>агаризованных</w:t>
      </w:r>
      <w:proofErr w:type="spellEnd"/>
      <w:r w:rsidR="00EA5036" w:rsidRPr="00EA5036">
        <w:t xml:space="preserve"> и жидких средах; получение </w:t>
      </w:r>
      <w:proofErr w:type="spellStart"/>
      <w:r w:rsidR="00EA5036" w:rsidRPr="00EA5036">
        <w:t>моноклональных</w:t>
      </w:r>
      <w:proofErr w:type="spellEnd"/>
      <w:r w:rsidR="00EA5036" w:rsidRPr="00EA5036">
        <w:t xml:space="preserve"> бактериальных культур; анализ бактериальных колоний методом ПЦР; выделение </w:t>
      </w:r>
      <w:proofErr w:type="spellStart"/>
      <w:r w:rsidR="00EA5036" w:rsidRPr="00EA5036">
        <w:t>плазмидных</w:t>
      </w:r>
      <w:proofErr w:type="spellEnd"/>
      <w:r w:rsidR="00EA5036" w:rsidRPr="00EA5036">
        <w:t xml:space="preserve"> ДНК из бактериальных культур; дот-</w:t>
      </w:r>
      <w:proofErr w:type="spellStart"/>
      <w:r w:rsidR="00EA5036" w:rsidRPr="00EA5036">
        <w:t>блот</w:t>
      </w:r>
      <w:proofErr w:type="spellEnd"/>
      <w:r w:rsidR="00EA5036" w:rsidRPr="00EA5036">
        <w:t xml:space="preserve"> для проверки интеграции конструкций.</w:t>
      </w:r>
    </w:p>
    <w:p w:rsidR="00E5383C" w:rsidRPr="00EA5036" w:rsidRDefault="00BB5919" w:rsidP="00E5383C">
      <w:pPr>
        <w:pStyle w:val="a7"/>
        <w:ind w:left="0"/>
        <w:jc w:val="both"/>
        <w:rPr>
          <w:highlight w:val="yellow"/>
        </w:rPr>
      </w:pPr>
      <w:r w:rsidRPr="004915CB">
        <w:t xml:space="preserve">- опыт </w:t>
      </w:r>
      <w:r w:rsidR="004915CB">
        <w:t>к</w:t>
      </w:r>
      <w:r w:rsidR="004915CB" w:rsidRPr="004915CB">
        <w:t>онструировани</w:t>
      </w:r>
      <w:r w:rsidR="004915CB">
        <w:t>я</w:t>
      </w:r>
      <w:r w:rsidR="004915CB" w:rsidRPr="004915CB">
        <w:t xml:space="preserve"> </w:t>
      </w:r>
      <w:proofErr w:type="spellStart"/>
      <w:r w:rsidR="004915CB" w:rsidRPr="004915CB">
        <w:t>фаговых</w:t>
      </w:r>
      <w:proofErr w:type="spellEnd"/>
      <w:r w:rsidR="004915CB" w:rsidRPr="004915CB">
        <w:t xml:space="preserve"> библиотек (VHH, </w:t>
      </w:r>
      <w:proofErr w:type="spellStart"/>
      <w:r w:rsidR="004915CB" w:rsidRPr="004915CB">
        <w:t>scFv</w:t>
      </w:r>
      <w:proofErr w:type="spellEnd"/>
      <w:r w:rsidR="004915CB" w:rsidRPr="004915CB">
        <w:t xml:space="preserve">) на платформе </w:t>
      </w:r>
      <w:proofErr w:type="spellStart"/>
      <w:r w:rsidR="004915CB" w:rsidRPr="004915CB">
        <w:t>фагового</w:t>
      </w:r>
      <w:proofErr w:type="spellEnd"/>
      <w:r w:rsidR="004915CB" w:rsidRPr="004915CB">
        <w:t xml:space="preserve"> дисплея; выделение </w:t>
      </w:r>
      <w:proofErr w:type="spellStart"/>
      <w:r w:rsidR="004915CB" w:rsidRPr="004915CB">
        <w:t>мононуклеарных</w:t>
      </w:r>
      <w:proofErr w:type="spellEnd"/>
      <w:r w:rsidR="004915CB" w:rsidRPr="004915CB">
        <w:t xml:space="preserve"> клеток (PBMC) из крови; получение </w:t>
      </w:r>
      <w:proofErr w:type="spellStart"/>
      <w:r w:rsidR="004915CB" w:rsidRPr="004915CB">
        <w:t>спленоцитов</w:t>
      </w:r>
      <w:proofErr w:type="spellEnd"/>
      <w:r w:rsidR="004915CB" w:rsidRPr="004915CB">
        <w:t xml:space="preserve"> из </w:t>
      </w:r>
      <w:r w:rsidR="004915CB" w:rsidRPr="004915CB">
        <w:lastRenderedPageBreak/>
        <w:t xml:space="preserve">селезенок иммунизированных животных; выделение и очистка РНК; синтез </w:t>
      </w:r>
      <w:proofErr w:type="spellStart"/>
      <w:r w:rsidR="004915CB" w:rsidRPr="004915CB">
        <w:t>кДНК</w:t>
      </w:r>
      <w:proofErr w:type="spellEnd"/>
      <w:r w:rsidR="004915CB" w:rsidRPr="004915CB">
        <w:t xml:space="preserve"> с последующей амплификацией вариабельных доменов антител (VHH и </w:t>
      </w:r>
      <w:proofErr w:type="spellStart"/>
      <w:r w:rsidR="004915CB" w:rsidRPr="004915CB">
        <w:t>scFv</w:t>
      </w:r>
      <w:proofErr w:type="spellEnd"/>
      <w:r w:rsidR="004915CB" w:rsidRPr="004915CB">
        <w:t xml:space="preserve">) методом ПЦР с вырожденными </w:t>
      </w:r>
      <w:proofErr w:type="spellStart"/>
      <w:r w:rsidR="004915CB" w:rsidRPr="004915CB">
        <w:t>праймерами</w:t>
      </w:r>
      <w:proofErr w:type="spellEnd"/>
      <w:r w:rsidR="004915CB" w:rsidRPr="004915CB">
        <w:t xml:space="preserve">; </w:t>
      </w:r>
      <w:proofErr w:type="spellStart"/>
      <w:r w:rsidR="004915CB" w:rsidRPr="004915CB">
        <w:t>overlap</w:t>
      </w:r>
      <w:proofErr w:type="spellEnd"/>
      <w:r w:rsidR="004915CB" w:rsidRPr="004915CB">
        <w:t xml:space="preserve">-ПЦР; оценка размеров библиотеки с расчетом КОЕ; заражение библиотек фагом M13K07 для получения </w:t>
      </w:r>
      <w:proofErr w:type="spellStart"/>
      <w:r w:rsidR="004915CB" w:rsidRPr="004915CB">
        <w:t>фаговых</w:t>
      </w:r>
      <w:proofErr w:type="spellEnd"/>
      <w:r w:rsidR="004915CB" w:rsidRPr="004915CB">
        <w:t xml:space="preserve"> частиц; </w:t>
      </w:r>
      <w:proofErr w:type="spellStart"/>
      <w:r w:rsidR="004915CB" w:rsidRPr="004915CB">
        <w:t>биопэннинг</w:t>
      </w:r>
      <w:proofErr w:type="spellEnd"/>
      <w:r w:rsidR="004915CB" w:rsidRPr="004915CB">
        <w:t xml:space="preserve">, титрование </w:t>
      </w:r>
      <w:proofErr w:type="spellStart"/>
      <w:r w:rsidR="004915CB" w:rsidRPr="004915CB">
        <w:t>элюированных</w:t>
      </w:r>
      <w:proofErr w:type="spellEnd"/>
      <w:r w:rsidR="004915CB" w:rsidRPr="004915CB">
        <w:t xml:space="preserve"> фагов на клетках TG1, оптимизация условий отбора для повышени</w:t>
      </w:r>
      <w:r w:rsidR="004915CB">
        <w:t xml:space="preserve">я </w:t>
      </w:r>
      <w:proofErr w:type="spellStart"/>
      <w:r w:rsidR="004915CB">
        <w:t>аффинности</w:t>
      </w:r>
      <w:proofErr w:type="spellEnd"/>
      <w:r w:rsidR="004915CB">
        <w:t xml:space="preserve"> получаемых антител;</w:t>
      </w:r>
    </w:p>
    <w:p w:rsidR="007D4717" w:rsidRPr="00EA5036" w:rsidRDefault="00E5383C" w:rsidP="00BB5919">
      <w:pPr>
        <w:pStyle w:val="a7"/>
        <w:ind w:left="0"/>
        <w:jc w:val="both"/>
        <w:rPr>
          <w:highlight w:val="yellow"/>
        </w:rPr>
      </w:pPr>
      <w:r w:rsidRPr="00EA5036">
        <w:t xml:space="preserve">- владение </w:t>
      </w:r>
      <w:r w:rsidR="007D4717" w:rsidRPr="00EA5036">
        <w:t>вирусологическими</w:t>
      </w:r>
      <w:r w:rsidRPr="00EA5036">
        <w:t xml:space="preserve"> методами: </w:t>
      </w:r>
      <w:r w:rsidR="00EA5036" w:rsidRPr="00EA5036">
        <w:t xml:space="preserve">оценка вируснейтрализующей активности </w:t>
      </w:r>
      <w:proofErr w:type="spellStart"/>
      <w:r w:rsidR="00EA5036" w:rsidRPr="00EA5036">
        <w:t>моноклональных</w:t>
      </w:r>
      <w:proofErr w:type="spellEnd"/>
      <w:r w:rsidR="00EA5036" w:rsidRPr="00EA5036">
        <w:t xml:space="preserve"> VHH-антител и </w:t>
      </w:r>
      <w:proofErr w:type="spellStart"/>
      <w:r w:rsidR="00EA5036" w:rsidRPr="00EA5036">
        <w:t>поликлональных</w:t>
      </w:r>
      <w:proofErr w:type="spellEnd"/>
      <w:r w:rsidR="00EA5036" w:rsidRPr="00EA5036">
        <w:t xml:space="preserve"> сывороток против </w:t>
      </w:r>
      <w:proofErr w:type="spellStart"/>
      <w:r w:rsidR="00EA5036" w:rsidRPr="00EA5036">
        <w:t>полиовируса</w:t>
      </w:r>
      <w:proofErr w:type="spellEnd"/>
      <w:r w:rsidR="00EA5036" w:rsidRPr="00EA5036">
        <w:t xml:space="preserve"> для штаммов </w:t>
      </w:r>
      <w:proofErr w:type="spellStart"/>
      <w:r w:rsidR="00EA5036" w:rsidRPr="00EA5036">
        <w:t>Сэбина</w:t>
      </w:r>
      <w:proofErr w:type="spellEnd"/>
      <w:r w:rsidR="00EA5036" w:rsidRPr="00EA5036">
        <w:t xml:space="preserve"> и диких типов (</w:t>
      </w:r>
      <w:proofErr w:type="spellStart"/>
      <w:r w:rsidR="00EA5036" w:rsidRPr="00EA5036">
        <w:t>Mahoney</w:t>
      </w:r>
      <w:proofErr w:type="spellEnd"/>
      <w:r w:rsidR="00EA5036" w:rsidRPr="00EA5036">
        <w:t xml:space="preserve">, MEF-1, </w:t>
      </w:r>
      <w:proofErr w:type="spellStart"/>
      <w:r w:rsidR="00EA5036" w:rsidRPr="00EA5036">
        <w:t>Saukett</w:t>
      </w:r>
      <w:proofErr w:type="spellEnd"/>
      <w:r w:rsidR="00EA5036" w:rsidRPr="00EA5036">
        <w:t xml:space="preserve">); определение инфекционного титра </w:t>
      </w:r>
      <w:proofErr w:type="spellStart"/>
      <w:r w:rsidR="00EA5036" w:rsidRPr="00EA5036">
        <w:t>полиовируса</w:t>
      </w:r>
      <w:proofErr w:type="spellEnd"/>
      <w:r w:rsidR="00EA5036" w:rsidRPr="00EA5036">
        <w:t xml:space="preserve"> методом TCID</w:t>
      </w:r>
      <w:r w:rsidR="00EA5036" w:rsidRPr="00EA5036">
        <w:rPr>
          <w:rFonts w:ascii="Cambria Math" w:hAnsi="Cambria Math" w:cs="Cambria Math"/>
        </w:rPr>
        <w:t>₅₀</w:t>
      </w:r>
      <w:r w:rsidR="00EA5036" w:rsidRPr="00EA5036">
        <w:t xml:space="preserve"> в клеточных линиях (</w:t>
      </w:r>
      <w:proofErr w:type="spellStart"/>
      <w:r w:rsidR="00EA5036" w:rsidRPr="00EA5036">
        <w:t>Vero</w:t>
      </w:r>
      <w:proofErr w:type="spellEnd"/>
      <w:r w:rsidR="00EA5036" w:rsidRPr="00EA5036">
        <w:t xml:space="preserve">, HEp-2); титрование </w:t>
      </w:r>
      <w:proofErr w:type="spellStart"/>
      <w:r w:rsidR="00EA5036" w:rsidRPr="00EA5036">
        <w:t>фаговых</w:t>
      </w:r>
      <w:proofErr w:type="spellEnd"/>
      <w:r w:rsidR="00EA5036" w:rsidRPr="00EA5036">
        <w:t xml:space="preserve"> частиц методом </w:t>
      </w:r>
      <w:proofErr w:type="spellStart"/>
      <w:r w:rsidR="00EA5036" w:rsidRPr="00EA5036">
        <w:t>бляшкообразования</w:t>
      </w:r>
      <w:proofErr w:type="spellEnd"/>
      <w:r w:rsidR="00EA5036" w:rsidRPr="00EA5036">
        <w:t xml:space="preserve"> на газоне </w:t>
      </w:r>
      <w:r w:rsidR="00EA5036" w:rsidRPr="00EA5036">
        <w:rPr>
          <w:i/>
        </w:rPr>
        <w:t xml:space="preserve">E. </w:t>
      </w:r>
      <w:proofErr w:type="spellStart"/>
      <w:r w:rsidR="00EA5036" w:rsidRPr="00EA5036">
        <w:rPr>
          <w:i/>
        </w:rPr>
        <w:t>coli</w:t>
      </w:r>
      <w:proofErr w:type="spellEnd"/>
      <w:r w:rsidR="00EA5036" w:rsidRPr="00EA5036">
        <w:t>; количественное</w:t>
      </w:r>
      <w:r w:rsidR="00EA5036">
        <w:t xml:space="preserve"> определение вирусных антигенов;</w:t>
      </w:r>
    </w:p>
    <w:p w:rsidR="00575307" w:rsidRDefault="007D4717" w:rsidP="00BB5919">
      <w:pPr>
        <w:pStyle w:val="a7"/>
        <w:ind w:left="0"/>
        <w:jc w:val="both"/>
      </w:pPr>
      <w:r w:rsidRPr="004915CB">
        <w:t>- владение общелабораторными методиками: электрофорез в ПААГ, вестерн-</w:t>
      </w:r>
      <w:proofErr w:type="spellStart"/>
      <w:r w:rsidRPr="004915CB">
        <w:t>блот</w:t>
      </w:r>
      <w:proofErr w:type="spellEnd"/>
      <w:r w:rsidRPr="004915CB">
        <w:t xml:space="preserve"> гибридизация, дот-</w:t>
      </w:r>
      <w:proofErr w:type="spellStart"/>
      <w:r w:rsidRPr="004915CB">
        <w:t>блот</w:t>
      </w:r>
      <w:proofErr w:type="spellEnd"/>
      <w:r w:rsidRPr="004915CB">
        <w:t xml:space="preserve"> гибридизация, центрифугирование, </w:t>
      </w:r>
      <w:proofErr w:type="spellStart"/>
      <w:r w:rsidRPr="004915CB">
        <w:t>ультрацентрифугирование</w:t>
      </w:r>
      <w:proofErr w:type="spellEnd"/>
      <w:r w:rsidRPr="004915CB">
        <w:t xml:space="preserve">, в </w:t>
      </w:r>
      <w:proofErr w:type="spellStart"/>
      <w:r w:rsidRPr="004915CB">
        <w:t>т.ч</w:t>
      </w:r>
      <w:proofErr w:type="spellEnd"/>
      <w:r w:rsidRPr="004915CB">
        <w:t xml:space="preserve">. в градиенте плотности веществ (сахароза, </w:t>
      </w:r>
      <w:proofErr w:type="spellStart"/>
      <w:r w:rsidRPr="004915CB">
        <w:t>CsCl</w:t>
      </w:r>
      <w:proofErr w:type="spellEnd"/>
      <w:r w:rsidRPr="004915CB">
        <w:t xml:space="preserve">, </w:t>
      </w:r>
      <w:proofErr w:type="spellStart"/>
      <w:r w:rsidRPr="004915CB">
        <w:t>йодиксанол</w:t>
      </w:r>
      <w:proofErr w:type="spellEnd"/>
      <w:r w:rsidRPr="004915CB">
        <w:t xml:space="preserve">, </w:t>
      </w:r>
      <w:proofErr w:type="spellStart"/>
      <w:r w:rsidRPr="004915CB">
        <w:t>йогексол</w:t>
      </w:r>
      <w:proofErr w:type="spellEnd"/>
      <w:r w:rsidRPr="004915CB">
        <w:t>; и т.д.).</w:t>
      </w:r>
    </w:p>
    <w:p w:rsidR="00BB5919" w:rsidRDefault="00BB5919" w:rsidP="00932CCA">
      <w:pPr>
        <w:jc w:val="both"/>
      </w:pPr>
    </w:p>
    <w:p w:rsidR="0029361D" w:rsidRDefault="0029361D" w:rsidP="0029361D">
      <w:r>
        <w:t>Младший научный сотрудник должен знать: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современные методы и средства планирования исследований и разработок, проведения экспериментов и наблюдений, обобщения и обработки информации;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научное оборудование лаборатории, правила его эксплуатации;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средства вычислительной техники, коммуникаций и связи;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этику делового общения.</w:t>
      </w:r>
    </w:p>
    <w:p w:rsidR="003C470B" w:rsidRDefault="003C470B" w:rsidP="00932CCA">
      <w:pPr>
        <w:jc w:val="both"/>
      </w:pPr>
    </w:p>
    <w:p w:rsidR="0029361D" w:rsidRDefault="0029361D" w:rsidP="0029361D">
      <w:r>
        <w:t>Младший научный сотрудник: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проводит научные исследования по отдельным разделам (этапам, заданиям) тематики лаборатории в качестве ответственного исполнителя или совместно с научным руководителем;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собирает, обрабатывает, анализирует и обобщает научно-техническую информацию по теме, результаты экспериментов и наблюдений;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участвует в разработке научно-технических решений по проблемам, методов проведения исследований и разработок, выбирает необходимые для этого средства;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участвует в составлении планов и методических программ для проведения исследований, и разработок;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участвует в составлении отчётов;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участвует во внедрении результатов научных исследований и разработок.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lastRenderedPageBreak/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>симпозиумы и иные научные мероприятия) с указанием статуса доклада 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</w:t>
      </w:r>
      <w:r w:rsidR="0029361D">
        <w:t xml:space="preserve">ученому секретарю </w:t>
      </w:r>
      <w:r w:rsidRPr="00932CCA">
        <w:t xml:space="preserve">по адресу: </w:t>
      </w:r>
      <w:r w:rsidR="0029361D">
        <w:rPr>
          <w:rStyle w:val="a3"/>
          <w:b w:val="0"/>
        </w:rPr>
        <w:t>108819, город</w:t>
      </w:r>
      <w:r w:rsidR="0029361D" w:rsidRPr="00BA32FA">
        <w:rPr>
          <w:rStyle w:val="a3"/>
          <w:b w:val="0"/>
        </w:rPr>
        <w:t xml:space="preserve"> Москва, </w:t>
      </w:r>
      <w:proofErr w:type="spellStart"/>
      <w:r w:rsidR="0029361D" w:rsidRPr="00BA32FA">
        <w:rPr>
          <w:rStyle w:val="a3"/>
          <w:b w:val="0"/>
        </w:rPr>
        <w:t>вн.тер.г</w:t>
      </w:r>
      <w:proofErr w:type="spellEnd"/>
      <w:r w:rsidR="0029361D" w:rsidRPr="00BA32FA">
        <w:rPr>
          <w:rStyle w:val="a3"/>
          <w:b w:val="0"/>
        </w:rPr>
        <w:t xml:space="preserve">. муниципальный округ </w:t>
      </w:r>
      <w:proofErr w:type="spellStart"/>
      <w:r w:rsidR="0029361D" w:rsidRPr="00BA32FA">
        <w:rPr>
          <w:rStyle w:val="a3"/>
          <w:b w:val="0"/>
        </w:rPr>
        <w:t>Филимонковский</w:t>
      </w:r>
      <w:proofErr w:type="spellEnd"/>
      <w:r w:rsidR="0029361D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29361D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 xml:space="preserve">дом 8, корпус 1. </w:t>
      </w:r>
      <w:r w:rsidR="00FE7EB3" w:rsidRPr="00932CCA">
        <w:t>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>108819, г</w:t>
      </w:r>
      <w:r w:rsidR="0029361D">
        <w:rPr>
          <w:rStyle w:val="a3"/>
          <w:b w:val="0"/>
        </w:rPr>
        <w:t>ород</w:t>
      </w:r>
      <w:r w:rsidR="00BA32FA" w:rsidRPr="00BA32FA">
        <w:rPr>
          <w:rStyle w:val="a3"/>
          <w:b w:val="0"/>
        </w:rPr>
        <w:t xml:space="preserve">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BA32FA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>дом 8, корпус 1.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A67BD8">
        <w:t>10</w:t>
      </w:r>
      <w:r w:rsidR="00B2270E" w:rsidRPr="001D67D7">
        <w:t xml:space="preserve"> </w:t>
      </w:r>
      <w:r w:rsidR="007D4717">
        <w:t>сентября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A67BD8">
        <w:t>12</w:t>
      </w:r>
      <w:r w:rsidR="00B2270E" w:rsidRPr="001D67D7">
        <w:t xml:space="preserve"> </w:t>
      </w:r>
      <w:r w:rsidR="00EA36FC">
        <w:t>сентября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5853C5" w:rsidRPr="00932CCA" w:rsidRDefault="007D01E5" w:rsidP="007D01E5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D67D7"/>
    <w:rsid w:val="001E2CEF"/>
    <w:rsid w:val="001F5EAC"/>
    <w:rsid w:val="001F685A"/>
    <w:rsid w:val="0022194B"/>
    <w:rsid w:val="00223B4E"/>
    <w:rsid w:val="00237DAC"/>
    <w:rsid w:val="00241ADC"/>
    <w:rsid w:val="002453D9"/>
    <w:rsid w:val="0024748C"/>
    <w:rsid w:val="002556A6"/>
    <w:rsid w:val="002730CF"/>
    <w:rsid w:val="002730EE"/>
    <w:rsid w:val="00286729"/>
    <w:rsid w:val="002879D9"/>
    <w:rsid w:val="0029361D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3FFD"/>
    <w:rsid w:val="00367F04"/>
    <w:rsid w:val="003769F8"/>
    <w:rsid w:val="00394C31"/>
    <w:rsid w:val="003951E0"/>
    <w:rsid w:val="003A2C4B"/>
    <w:rsid w:val="003C24E7"/>
    <w:rsid w:val="003C470B"/>
    <w:rsid w:val="003C5F72"/>
    <w:rsid w:val="003D0EF9"/>
    <w:rsid w:val="003D12E2"/>
    <w:rsid w:val="003D2121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15CB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588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41F8"/>
    <w:rsid w:val="006C6D4B"/>
    <w:rsid w:val="006E3012"/>
    <w:rsid w:val="006E50E5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D4717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D5573"/>
    <w:rsid w:val="009F6DD8"/>
    <w:rsid w:val="00A06E09"/>
    <w:rsid w:val="00A102B0"/>
    <w:rsid w:val="00A1291A"/>
    <w:rsid w:val="00A15521"/>
    <w:rsid w:val="00A31CC4"/>
    <w:rsid w:val="00A43D74"/>
    <w:rsid w:val="00A67BD8"/>
    <w:rsid w:val="00A824E7"/>
    <w:rsid w:val="00AA3706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5383C"/>
    <w:rsid w:val="00E63D56"/>
    <w:rsid w:val="00E707FF"/>
    <w:rsid w:val="00E91301"/>
    <w:rsid w:val="00E93C46"/>
    <w:rsid w:val="00E94A0B"/>
    <w:rsid w:val="00EA36FC"/>
    <w:rsid w:val="00EA5036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89AF-0F23-463B-BD6D-81F2B3C0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62</cp:revision>
  <cp:lastPrinted>2018-04-20T12:18:00Z</cp:lastPrinted>
  <dcterms:created xsi:type="dcterms:W3CDTF">2021-12-16T11:34:00Z</dcterms:created>
  <dcterms:modified xsi:type="dcterms:W3CDTF">2025-07-04T06:13:00Z</dcterms:modified>
</cp:coreProperties>
</file>